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C6" w:rsidRDefault="003E5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3E58C6" w:rsidRDefault="00237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3E58C6" w:rsidRDefault="00237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VII фестивале робототехники, программирования</w:t>
      </w:r>
    </w:p>
    <w:p w:rsidR="003E58C6" w:rsidRDefault="00237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инновационных технологий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2022»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 соревнования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Теңге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участников: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11-14 лет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человека.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автономные роботы.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Используемое 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любая платформа.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 программирования: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усмотрение команды, без ограничений.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проведения соревнований: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попытки для каждой команды.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Условия состязания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Цель состязания - за наиболее короткое время робот, двигаясь по линии, должен поднять и отбросить за линию как можно больше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ТЕҢГЕ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кубики)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Максимальное время движения в одной попытке -  2 минуты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При потере ориентации или сходе с линии более чем на 5 секунд роботу засчитывается поражение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Во время проведения состязания участники команд не должны касаться роботов, кубиков или поля.  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20018" cy="360110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18" cy="3601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Рисунок 1 – Схема поля и деталей для соревнования «Тенге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Поле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Поле представляет собой баннер размером 2,4х1,2м (см. рис. 1).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 Цвет поля – белый.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Цвет линии следования – черный, ширина линии – 2,5 см, длина от линии старта до финиша - 200 см (может быть не прямой)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Стартовая площадка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финишная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 – квадраты 25×25 см, внутри которых должны находится роботы целиком в момент старта и финиша.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Окружность на поле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ТЕҢГЕ</w:t>
      </w:r>
      <w:proofErr w:type="gramEnd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диаметр 6 см, цвет линии черный, ширина линии – 0,5 см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Расстояние центров окружностей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 линии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 см.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Расстояния между центрами окружностей – 40 см.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Коридор для сбрасывания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ТЕҢГЕ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 слева от линии движения робота, органичен черными линиями цвета, шириной 1 см. Расстояние между коридором и линией следования 30 см. Ширина коридора 60 см (месте с линиями его ограничивающими)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ТЕҢГЕ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Теңге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кубики размером 2х2х2 см, и весом не более 10 г.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Кубики можно изготовить из стандартных деталей LEGO: балки на 3 модуля разных цветов, и длинных синих втулок. 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Робот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Максимальная ширина робота 25 см, длина - 25 см.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Высота и вес робота не регламентируется.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Робот должен быть полностью автономным.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Во время соревнования после запуска роботы могут изменять размеры.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Робот не может сходить с линии, а также не может пользоваться для перемещения кубиков своим корпусом или выступающими неподвижными частями.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Робот должен быть оснащен специальным приспособлением для захвата и перебрасывания ТЕНГЕ (механическое, пневматическое, вибрационное, акустическое и т.п.). Данное качество робота участники должны продемонстрировать перед выставлением робота на карантин. В случае, если судьи решат, что робот не соответствует принципу игры, его могут не допустить к соревнованию.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Игра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Перед началом заезда выполняются следующие процедуры: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Оператор размещает робота в центр площадки старта;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 В центре каждой окружности расставляются кубики-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ТЕҢГЕ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общее количество - 5 кубиков. Расстояния между ними (центрами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окружностей)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40 см;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 По команде судьи оператором производится старт робота, после этого запрещается вмешиваться в работу робота.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Цель робота состоит в том, чтобы захватать и перебросить все кубики в коридор сбрасывания. Сходить с линии роботу запрещено. При покидании роботом линии, более чем на 5 сек, попытку останавливают, засчитывают очки, полученные до этого момента.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Сбор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ТЕҢГЕ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Теңге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собранным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кубик был перемещен методом перебрасывания с метки размещения в коридор слева от линии следования. Если при перебрасывании кубика, он попадает на линию (любой из частей кубика), ограничивающую коридор, оценивание идет в пользу участника. Каждый такой кубик оценивается в 10 баллов.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 Если робот, после попытки поднять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теңге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теряет его, и одна из частей касается окружности или находится за ее пределами,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теңге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сдвинутым.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Оценивается такой кубик в 2 балла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5.3.2.1. Если кубик был захвачен, но утерян при перебросе, он засчитывается как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сдвинутый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теңге</w:t>
      </w:r>
      <w:proofErr w:type="spellEnd"/>
    </w:p>
    <w:p w:rsidR="003E58C6" w:rsidRPr="00EB48EB" w:rsidRDefault="00237CAF" w:rsidP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5.3.2.2. При отскоке кубика из коридора сбрасывания за его </w:t>
      </w:r>
      <w:r w:rsidRPr="00EB48EB">
        <w:rPr>
          <w:rFonts w:ascii="Times New Roman" w:eastAsia="Times New Roman" w:hAnsi="Times New Roman" w:cs="Times New Roman"/>
          <w:sz w:val="24"/>
          <w:szCs w:val="24"/>
        </w:rPr>
        <w:t>пределы, кубик оценивается в 5 баллов.</w:t>
      </w:r>
    </w:p>
    <w:p w:rsidR="003E58C6" w:rsidRPr="00EB48EB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EB">
        <w:rPr>
          <w:rFonts w:ascii="Times New Roman" w:eastAsia="Times New Roman" w:hAnsi="Times New Roman" w:cs="Times New Roman"/>
          <w:sz w:val="24"/>
          <w:szCs w:val="24"/>
        </w:rPr>
        <w:t xml:space="preserve">5.4. Робот должен быть включен или инициализирован вручную в начале состязания по команде судьи, после чего в его работу нельзя вмешиваться. Запрещено дистанционное управление или подача роботу любых других команд. </w:t>
      </w:r>
    </w:p>
    <w:p w:rsidR="003E58C6" w:rsidRPr="00EB48EB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EB">
        <w:rPr>
          <w:rFonts w:ascii="Times New Roman" w:eastAsia="Times New Roman" w:hAnsi="Times New Roman" w:cs="Times New Roman"/>
          <w:sz w:val="24"/>
          <w:szCs w:val="24"/>
        </w:rPr>
        <w:t xml:space="preserve">5.5. Время выполнения задания не должно превышать 120 секунд. </w:t>
      </w:r>
    </w:p>
    <w:p w:rsidR="003E58C6" w:rsidRPr="00EB48EB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C6" w:rsidRPr="00EB48EB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EB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Правила отбора победителя </w:t>
      </w:r>
    </w:p>
    <w:p w:rsidR="003E58C6" w:rsidRPr="00EB48EB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EB">
        <w:rPr>
          <w:rFonts w:ascii="Times New Roman" w:eastAsia="Times New Roman" w:hAnsi="Times New Roman" w:cs="Times New Roman"/>
          <w:sz w:val="24"/>
          <w:szCs w:val="24"/>
        </w:rPr>
        <w:t xml:space="preserve">6.1. Каждой команде даются не менее двух попыток на выполнение задания, засчитывается попытка команды с большим количеством баллов. </w:t>
      </w:r>
    </w:p>
    <w:p w:rsidR="003E58C6" w:rsidRPr="00EB48EB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EB">
        <w:rPr>
          <w:rFonts w:ascii="Times New Roman" w:eastAsia="Times New Roman" w:hAnsi="Times New Roman" w:cs="Times New Roman"/>
          <w:sz w:val="24"/>
          <w:szCs w:val="24"/>
        </w:rPr>
        <w:t>6.2. Победителем объявляется команда, набравшая большее количество баллов, уложившись в отведенное время (п. 5.5). При равном количестве баллов, побеждает команда, робот которой прошел быстрее, а также с меньшим количеством штрафных баллов.</w:t>
      </w:r>
    </w:p>
    <w:p w:rsidR="003E58C6" w:rsidRPr="00EB48EB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Возможные штрафные санкции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Нарушением считается проявление неуважение к судье или/и к сопернику, выражаемое в письменной, устной или иной форме. В случае проявления оскорбительного поведения участников команды, выносится одно предупреждение, при повторных действиях, судья объявляет дисквалификацию команды, снимает ее с соревнований и объявляет проигрыш.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Действия членов команды, нарушающие ход соревнования, нахождение оператора на поле во время прохождения задания без разрешения судьи, подготовка робота более 30 секунд перед началом выполнения задания после сигнала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судьи, 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стать причиной объявления нарушения. 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 Каждое нарушение фиксируется в протокол соревнования в виде штрафных баллов, и влияют на итоги соревнований при равных результатах команд.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При наличии более трех нарушений, а также при обнаружении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команды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ставящих под сомнение честность выполнения задания, команда дисквалифицируется. 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Образец протокола</w:t>
      </w:r>
    </w:p>
    <w:p w:rsidR="00EB48EB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Подробный </w:t>
      </w:r>
    </w:p>
    <w:p w:rsidR="00EB48EB" w:rsidRDefault="00EB48EB" w:rsidP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4D32E3" wp14:editId="213B16CE">
            <wp:extent cx="6299835" cy="8807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EB" w:rsidRDefault="00EB48EB" w:rsidP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</w:t>
      </w:r>
    </w:p>
    <w:p w:rsidR="00EB48EB" w:rsidRDefault="00EB48EB" w:rsidP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89785D7" wp14:editId="24ACC270">
            <wp:extent cx="6299835" cy="12985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237C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Гибкость регламента соревнований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37CAF">
        <w:rPr>
          <w:rFonts w:ascii="Times New Roman" w:eastAsia="Times New Roman" w:hAnsi="Times New Roman" w:cs="Times New Roman"/>
          <w:color w:val="000000"/>
          <w:sz w:val="24"/>
          <w:szCs w:val="24"/>
        </w:rPr>
        <w:t>.1. Гибкость правил может быть проявлена при изменениях количества участников соревнований, что может оказать незначительное влияние на содержание регламента, но при этом должны быть соблюдены его основные концепты.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237CAF">
        <w:rPr>
          <w:rFonts w:ascii="Times New Roman" w:eastAsia="Times New Roman" w:hAnsi="Times New Roman" w:cs="Times New Roman"/>
          <w:color w:val="000000"/>
          <w:sz w:val="24"/>
          <w:szCs w:val="24"/>
        </w:rPr>
        <w:t>.2. 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37CAF">
        <w:rPr>
          <w:rFonts w:ascii="Times New Roman" w:eastAsia="Times New Roman" w:hAnsi="Times New Roman" w:cs="Times New Roman"/>
          <w:color w:val="000000"/>
          <w:sz w:val="24"/>
          <w:szCs w:val="24"/>
        </w:rPr>
        <w:t>.3. Об изменениях или отмене регламентов соревнований участники должны быть извещены заранее (но не позднее 10 дней) до начала соревнований.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37CAF">
        <w:rPr>
          <w:rFonts w:ascii="Times New Roman" w:eastAsia="Times New Roman" w:hAnsi="Times New Roman" w:cs="Times New Roman"/>
          <w:color w:val="000000"/>
          <w:sz w:val="24"/>
          <w:szCs w:val="24"/>
        </w:rPr>
        <w:t>.4. Скорректированные правила остаются неизменными в ходе соревнования.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237C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Ответственность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37CAF">
        <w:rPr>
          <w:rFonts w:ascii="Times New Roman" w:eastAsia="Times New Roman" w:hAnsi="Times New Roman" w:cs="Times New Roman"/>
          <w:color w:val="000000"/>
          <w:sz w:val="24"/>
          <w:szCs w:val="24"/>
        </w:rPr>
        <w:t>.1. За работоспособность, безопасность роботов команды и участники соревнований несут личную ответственность, а также ответственность в соответствии с Законодательством РК в любых несчастных случаях, вызванных действиями участников команд или их роботов.</w:t>
      </w:r>
    </w:p>
    <w:p w:rsidR="003E58C6" w:rsidRDefault="00EB4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37CAF">
        <w:rPr>
          <w:rFonts w:ascii="Times New Roman" w:eastAsia="Times New Roman" w:hAnsi="Times New Roman" w:cs="Times New Roman"/>
          <w:color w:val="000000"/>
          <w:sz w:val="24"/>
          <w:szCs w:val="24"/>
        </w:rPr>
        <w:t>.2. Организаторы соревнований не несут ответственность в случае аварии или несчастного случая, вызванных действиями участников команд или их оборудованием.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регламента</w:t>
      </w:r>
    </w:p>
    <w:p w:rsidR="003E58C6" w:rsidRDefault="00237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3E58C6" w:rsidRDefault="003E5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E58C6">
      <w:headerReference w:type="default" r:id="rId10"/>
      <w:pgSz w:w="11906" w:h="16838"/>
      <w:pgMar w:top="1134" w:right="5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48" w:rsidRDefault="00323848">
      <w:pPr>
        <w:spacing w:after="0" w:line="240" w:lineRule="auto"/>
      </w:pPr>
      <w:r>
        <w:separator/>
      </w:r>
    </w:p>
  </w:endnote>
  <w:endnote w:type="continuationSeparator" w:id="0">
    <w:p w:rsidR="00323848" w:rsidRDefault="0032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48" w:rsidRDefault="00323848">
      <w:pPr>
        <w:spacing w:after="0" w:line="240" w:lineRule="auto"/>
      </w:pPr>
      <w:r>
        <w:separator/>
      </w:r>
    </w:p>
  </w:footnote>
  <w:footnote w:type="continuationSeparator" w:id="0">
    <w:p w:rsidR="00323848" w:rsidRDefault="0032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EB" w:rsidRDefault="00237CAF" w:rsidP="00EB48EB">
    <w:pPr>
      <w:ind w:left="43" w:right="43"/>
      <w:jc w:val="center"/>
      <w:rPr>
        <w:rFonts w:ascii="Times New Roman" w:eastAsia="Times New Roman" w:hAnsi="Times New Roman" w:cs="Times New Roman"/>
        <w:b/>
        <w:color w:val="00AFEF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b/>
        <w:color w:val="00AFEF"/>
      </w:rPr>
      <w:t>VI фестиваль робототехники, программирования и инновационных</w:t>
    </w:r>
    <w:r w:rsidR="00EB48EB">
      <w:rPr>
        <w:rFonts w:ascii="Times New Roman" w:eastAsia="Times New Roman" w:hAnsi="Times New Roman" w:cs="Times New Roman"/>
        <w:b/>
        <w:color w:val="00AFEF"/>
      </w:rPr>
      <w:t xml:space="preserve"> </w:t>
    </w:r>
  </w:p>
  <w:p w:rsidR="003E58C6" w:rsidRPr="00EB48EB" w:rsidRDefault="00237CAF" w:rsidP="00EB48EB">
    <w:pPr>
      <w:ind w:left="43" w:right="43"/>
      <w:jc w:val="center"/>
      <w:rPr>
        <w:rFonts w:ascii="Times New Roman" w:eastAsia="Times New Roman" w:hAnsi="Times New Roman" w:cs="Times New Roman"/>
        <w:b/>
        <w:color w:val="00AFEF"/>
      </w:rPr>
    </w:pPr>
    <w:r>
      <w:rPr>
        <w:rFonts w:ascii="Times New Roman" w:eastAsia="Times New Roman" w:hAnsi="Times New Roman" w:cs="Times New Roman"/>
        <w:b/>
        <w:color w:val="00AFEF"/>
        <w:sz w:val="24"/>
        <w:szCs w:val="24"/>
      </w:rPr>
      <w:t>технологий «</w:t>
    </w:r>
    <w:proofErr w:type="spellStart"/>
    <w:r>
      <w:rPr>
        <w:rFonts w:ascii="Times New Roman" w:eastAsia="Times New Roman" w:hAnsi="Times New Roman" w:cs="Times New Roman"/>
        <w:b/>
        <w:color w:val="00AFEF"/>
        <w:sz w:val="24"/>
        <w:szCs w:val="24"/>
      </w:rPr>
      <w:t>RoboLand</w:t>
    </w:r>
    <w:proofErr w:type="spellEnd"/>
    <w:r>
      <w:rPr>
        <w:rFonts w:ascii="Times New Roman" w:eastAsia="Times New Roman" w:hAnsi="Times New Roman" w:cs="Times New Roman"/>
        <w:b/>
        <w:color w:val="00AFEF"/>
        <w:sz w:val="24"/>
        <w:szCs w:val="24"/>
      </w:rPr>
      <w:t xml:space="preserve"> 2021</w:t>
    </w:r>
  </w:p>
  <w:p w:rsidR="003E58C6" w:rsidRDefault="003E5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C6"/>
    <w:rsid w:val="00237CAF"/>
    <w:rsid w:val="00323848"/>
    <w:rsid w:val="003E3F21"/>
    <w:rsid w:val="003E58C6"/>
    <w:rsid w:val="00E8498A"/>
    <w:rsid w:val="00E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135F-65C9-48B6-89EF-E610CDD2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9"/>
  </w:style>
  <w:style w:type="paragraph" w:styleId="1">
    <w:name w:val="heading 1"/>
    <w:basedOn w:val="a"/>
    <w:link w:val="10"/>
    <w:uiPriority w:val="1"/>
    <w:qFormat/>
    <w:rsid w:val="00C20995"/>
    <w:pPr>
      <w:widowControl w:val="0"/>
      <w:spacing w:after="0" w:line="240" w:lineRule="auto"/>
      <w:ind w:left="342" w:hanging="24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B46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0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7081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7081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2099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Основной текст (2)_"/>
    <w:basedOn w:val="a0"/>
    <w:link w:val="21"/>
    <w:uiPriority w:val="99"/>
    <w:locked/>
    <w:rsid w:val="00BE6B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E6B93"/>
    <w:pPr>
      <w:widowControl w:val="0"/>
      <w:shd w:val="clear" w:color="auto" w:fill="FFFFFF"/>
      <w:spacing w:after="6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B93"/>
  </w:style>
  <w:style w:type="paragraph" w:styleId="ab">
    <w:name w:val="footer"/>
    <w:basedOn w:val="a"/>
    <w:link w:val="ac"/>
    <w:uiPriority w:val="99"/>
    <w:unhideWhenUsed/>
    <w:rsid w:val="00BE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B93"/>
  </w:style>
  <w:style w:type="character" w:customStyle="1" w:styleId="ad">
    <w:name w:val="Колонтитул_"/>
    <w:basedOn w:val="a0"/>
    <w:link w:val="11"/>
    <w:uiPriority w:val="99"/>
    <w:locked/>
    <w:rsid w:val="00BE6B93"/>
    <w:rPr>
      <w:rFonts w:ascii="Calibri" w:hAnsi="Calibri" w:cs="Calibri"/>
      <w:b/>
      <w:bCs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BE6B93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XxAZEBBfgOLEwTjeX4P4CeLkg==">AMUW2mVctSxpV6mRNNFfaAC+CsAtvc7bRBvXOB+Pjap5T8YmM0PrErWLyuFmuxGpyD3zqhFr4d5Wrm2obu+A9BB965D56ox2JQaQ52UWys+pD1gXWYG10GJzGdeKZwNYo7VQOW3EpzAW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Alena</cp:lastModifiedBy>
  <cp:revision>2</cp:revision>
  <dcterms:created xsi:type="dcterms:W3CDTF">2022-10-19T17:18:00Z</dcterms:created>
  <dcterms:modified xsi:type="dcterms:W3CDTF">2022-10-19T17:18:00Z</dcterms:modified>
</cp:coreProperties>
</file>